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310B693" w14:textId="77777777" w:rsidTr="00677D67">
        <w:trPr>
          <w:trHeight w:hRule="exact" w:val="284"/>
        </w:trPr>
        <w:tc>
          <w:tcPr>
            <w:tcW w:w="2550" w:type="pct"/>
            <w:tcBorders>
              <w:top w:val="nil"/>
              <w:left w:val="nil"/>
              <w:bottom w:val="nil"/>
              <w:right w:val="single" w:sz="12" w:space="0" w:color="auto"/>
            </w:tcBorders>
          </w:tcPr>
          <w:p w14:paraId="5310B690"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310B691"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310B692" w14:textId="77777777" w:rsidR="00677D67" w:rsidRPr="00982242" w:rsidRDefault="00677D67" w:rsidP="00D3297A">
            <w:pPr>
              <w:rPr>
                <w:sz w:val="18"/>
                <w:szCs w:val="20"/>
              </w:rPr>
            </w:pPr>
          </w:p>
        </w:tc>
      </w:tr>
    </w:tbl>
    <w:p w14:paraId="5310B694"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5310B695"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5310B696" w14:textId="294D5C87" w:rsidR="004F407F" w:rsidRPr="00982242" w:rsidRDefault="004F407F" w:rsidP="004F407F">
      <w:pPr>
        <w:autoSpaceDE w:val="0"/>
        <w:autoSpaceDN w:val="0"/>
        <w:snapToGrid w:val="0"/>
        <w:rPr>
          <w:rFonts w:hAnsi="ＭＳ ゴシック"/>
          <w:sz w:val="21"/>
          <w:szCs w:val="21"/>
          <w:u w:val="single"/>
          <w:lang w:eastAsia="zh-CN"/>
        </w:rPr>
      </w:pPr>
    </w:p>
    <w:p w14:paraId="5310B697" w14:textId="12807BA8" w:rsidR="004F407F" w:rsidRPr="00982242" w:rsidRDefault="00B65F67" w:rsidP="004F407F">
      <w:pPr>
        <w:autoSpaceDE w:val="0"/>
        <w:autoSpaceDN w:val="0"/>
        <w:snapToGrid w:val="0"/>
        <w:rPr>
          <w:rFonts w:hAnsi="ＭＳ ゴシック"/>
          <w:sz w:val="21"/>
          <w:szCs w:val="21"/>
          <w:lang w:eastAsia="zh-CN"/>
        </w:rPr>
      </w:pPr>
      <w:r w:rsidRPr="008B0C58">
        <w:rPr>
          <w:rFonts w:hAnsi="ＭＳ ゴシック" w:hint="eastAsia"/>
          <w:sz w:val="21"/>
          <w:szCs w:val="21"/>
        </w:rPr>
        <w:t>金沢大学臨床研究審査委員会</w:t>
      </w:r>
      <w:r w:rsidR="004F407F" w:rsidRPr="00982242">
        <w:rPr>
          <w:rFonts w:hAnsi="ＭＳ ゴシック" w:hint="eastAsia"/>
          <w:sz w:val="21"/>
          <w:szCs w:val="21"/>
          <w:lang w:eastAsia="zh-CN"/>
        </w:rPr>
        <w:t xml:space="preserve">　委員長　殿</w:t>
      </w:r>
    </w:p>
    <w:p w14:paraId="1EAFA4AF" w14:textId="77777777" w:rsidR="00A64B83" w:rsidRPr="00B87C22" w:rsidRDefault="00A64B83" w:rsidP="00A64B83">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36EE7" w:rsidRPr="001670D6" w14:paraId="0130FDBE" w14:textId="77777777" w:rsidTr="00B87C22">
        <w:trPr>
          <w:jc w:val="right"/>
        </w:trPr>
        <w:tc>
          <w:tcPr>
            <w:tcW w:w="1276" w:type="dxa"/>
          </w:tcPr>
          <w:p w14:paraId="5F7F1FD7" w14:textId="5B4F7872" w:rsidR="00E36EE7" w:rsidRPr="001670D6" w:rsidRDefault="00E36EE7" w:rsidP="00E36EE7">
            <w:pPr>
              <w:autoSpaceDE w:val="0"/>
              <w:autoSpaceDN w:val="0"/>
              <w:snapToGrid w:val="0"/>
              <w:rPr>
                <w:rFonts w:hAnsi="ＭＳ ゴシック"/>
                <w:sz w:val="21"/>
                <w:szCs w:val="21"/>
              </w:rPr>
            </w:pPr>
            <w:r>
              <w:rPr>
                <w:rFonts w:hAnsi="ＭＳ ゴシック" w:hint="eastAsia"/>
                <w:sz w:val="21"/>
                <w:szCs w:val="21"/>
              </w:rPr>
              <w:t>所属</w:t>
            </w:r>
          </w:p>
        </w:tc>
        <w:tc>
          <w:tcPr>
            <w:tcW w:w="3196" w:type="dxa"/>
          </w:tcPr>
          <w:p w14:paraId="5D397D65" w14:textId="77777777" w:rsidR="00E36EE7" w:rsidRDefault="00E36EE7" w:rsidP="00E36EE7">
            <w:pPr>
              <w:autoSpaceDE w:val="0"/>
              <w:autoSpaceDN w:val="0"/>
              <w:snapToGrid w:val="0"/>
              <w:rPr>
                <w:rFonts w:hAnsi="ＭＳ ゴシック"/>
                <w:sz w:val="21"/>
                <w:szCs w:val="21"/>
              </w:rPr>
            </w:pPr>
            <w:r>
              <w:rPr>
                <w:rFonts w:hAnsi="ＭＳ ゴシック" w:hint="eastAsia"/>
                <w:sz w:val="21"/>
                <w:szCs w:val="21"/>
              </w:rPr>
              <w:t>金沢大学附属病院</w:t>
            </w:r>
          </w:p>
          <w:p w14:paraId="24CDAB4A" w14:textId="018C7C63" w:rsidR="00E36EE7" w:rsidRPr="001670D6" w:rsidRDefault="00E36EE7" w:rsidP="00E36EE7">
            <w:pPr>
              <w:autoSpaceDE w:val="0"/>
              <w:autoSpaceDN w:val="0"/>
              <w:snapToGrid w:val="0"/>
              <w:rPr>
                <w:rFonts w:hAnsi="ＭＳ ゴシック"/>
                <w:sz w:val="21"/>
                <w:szCs w:val="21"/>
              </w:rPr>
            </w:pPr>
            <w:r>
              <w:rPr>
                <w:rFonts w:hAnsi="ＭＳ ゴシック" w:hint="eastAsia"/>
                <w:sz w:val="21"/>
                <w:szCs w:val="21"/>
              </w:rPr>
              <w:t>○○科</w:t>
            </w:r>
          </w:p>
        </w:tc>
      </w:tr>
      <w:tr w:rsidR="00E36EE7" w:rsidRPr="001670D6" w14:paraId="4D437776" w14:textId="77777777" w:rsidTr="00B87C22">
        <w:trPr>
          <w:jc w:val="right"/>
        </w:trPr>
        <w:tc>
          <w:tcPr>
            <w:tcW w:w="1276" w:type="dxa"/>
          </w:tcPr>
          <w:p w14:paraId="4F831CEB" w14:textId="20CF1A18" w:rsidR="00E36EE7" w:rsidRPr="001670D6" w:rsidRDefault="00E36EE7" w:rsidP="00E36EE7">
            <w:pPr>
              <w:autoSpaceDE w:val="0"/>
              <w:autoSpaceDN w:val="0"/>
              <w:snapToGrid w:val="0"/>
              <w:rPr>
                <w:rFonts w:hAnsi="ＭＳ ゴシック"/>
                <w:sz w:val="21"/>
                <w:szCs w:val="21"/>
              </w:rPr>
            </w:pPr>
            <w:r>
              <w:rPr>
                <w:rFonts w:hAnsi="ＭＳ ゴシック" w:hint="eastAsia"/>
                <w:sz w:val="21"/>
                <w:szCs w:val="21"/>
              </w:rPr>
              <w:t>氏名</w:t>
            </w:r>
          </w:p>
        </w:tc>
        <w:tc>
          <w:tcPr>
            <w:tcW w:w="3196" w:type="dxa"/>
          </w:tcPr>
          <w:p w14:paraId="3A5AED04" w14:textId="4428D2E0" w:rsidR="00E36EE7" w:rsidRPr="001670D6" w:rsidRDefault="00E36EE7" w:rsidP="00E36EE7">
            <w:pPr>
              <w:autoSpaceDE w:val="0"/>
              <w:autoSpaceDN w:val="0"/>
              <w:snapToGrid w:val="0"/>
              <w:rPr>
                <w:rFonts w:hAnsi="ＭＳ ゴシック"/>
                <w:sz w:val="21"/>
                <w:szCs w:val="21"/>
              </w:rPr>
            </w:pPr>
          </w:p>
        </w:tc>
      </w:tr>
    </w:tbl>
    <w:p w14:paraId="5310B69C" w14:textId="77777777" w:rsidR="00D3297A" w:rsidRPr="00A64B83" w:rsidRDefault="00D3297A" w:rsidP="00F8401B">
      <w:pPr>
        <w:autoSpaceDE w:val="0"/>
        <w:autoSpaceDN w:val="0"/>
        <w:snapToGrid w:val="0"/>
        <w:rPr>
          <w:rFonts w:hAnsi="ＭＳ ゴシック"/>
          <w:sz w:val="21"/>
        </w:rPr>
      </w:pPr>
    </w:p>
    <w:p w14:paraId="5310B69D"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5310B69E"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5310B6A4" w14:textId="77777777" w:rsidTr="00677D67">
        <w:trPr>
          <w:trHeight w:val="440"/>
          <w:jc w:val="center"/>
        </w:trPr>
        <w:tc>
          <w:tcPr>
            <w:tcW w:w="1167" w:type="pct"/>
            <w:tcBorders>
              <w:right w:val="single" w:sz="4" w:space="0" w:color="auto"/>
            </w:tcBorders>
            <w:tcMar>
              <w:left w:w="28" w:type="dxa"/>
              <w:right w:w="28" w:type="dxa"/>
            </w:tcMar>
            <w:vAlign w:val="center"/>
          </w:tcPr>
          <w:p w14:paraId="5310B69F"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5310B6A0"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5310B6A1" w14:textId="77777777" w:rsidR="00D3297A" w:rsidRPr="00982242" w:rsidRDefault="00D3297A"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実施計画番号</w:t>
            </w:r>
          </w:p>
          <w:p w14:paraId="5310B6A2" w14:textId="77777777" w:rsidR="00F8401B" w:rsidRPr="00982242" w:rsidRDefault="00F8401B"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w:t>
            </w:r>
            <w:proofErr w:type="spellStart"/>
            <w:r w:rsidRPr="00982242">
              <w:rPr>
                <w:rFonts w:hAnsi="ＭＳ ゴシック" w:hint="eastAsia"/>
                <w:sz w:val="20"/>
                <w:szCs w:val="20"/>
                <w:lang w:eastAsia="zh-CN"/>
              </w:rPr>
              <w:t>jRCT</w:t>
            </w:r>
            <w:proofErr w:type="spellEnd"/>
            <w:r w:rsidRPr="00982242">
              <w:rPr>
                <w:rFonts w:hAnsi="ＭＳ ゴシック" w:hint="eastAsia"/>
                <w:sz w:val="20"/>
                <w:szCs w:val="20"/>
                <w:lang w:eastAsia="zh-CN"/>
              </w:rPr>
              <w:t>番号）</w:t>
            </w:r>
          </w:p>
        </w:tc>
        <w:tc>
          <w:tcPr>
            <w:tcW w:w="1990" w:type="pct"/>
            <w:tcBorders>
              <w:left w:val="single" w:sz="4" w:space="0" w:color="auto"/>
            </w:tcBorders>
            <w:vAlign w:val="center"/>
          </w:tcPr>
          <w:p w14:paraId="5310B6A3" w14:textId="77777777" w:rsidR="00D3297A" w:rsidRPr="00982242" w:rsidRDefault="00D3297A" w:rsidP="00F8401B">
            <w:pPr>
              <w:autoSpaceDE w:val="0"/>
              <w:autoSpaceDN w:val="0"/>
              <w:snapToGrid w:val="0"/>
              <w:rPr>
                <w:rFonts w:hAnsi="ＭＳ ゴシック"/>
                <w:sz w:val="20"/>
                <w:szCs w:val="20"/>
                <w:lang w:eastAsia="zh-CN"/>
              </w:rPr>
            </w:pPr>
          </w:p>
        </w:tc>
      </w:tr>
      <w:tr w:rsidR="00D3297A" w:rsidRPr="00982242" w14:paraId="5310B6A7" w14:textId="77777777" w:rsidTr="00677D67">
        <w:trPr>
          <w:trHeight w:hRule="exact" w:val="510"/>
          <w:jc w:val="center"/>
        </w:trPr>
        <w:tc>
          <w:tcPr>
            <w:tcW w:w="1167" w:type="pct"/>
            <w:tcBorders>
              <w:top w:val="single" w:sz="12" w:space="0" w:color="auto"/>
              <w:right w:val="single" w:sz="4" w:space="0" w:color="auto"/>
            </w:tcBorders>
            <w:vAlign w:val="center"/>
          </w:tcPr>
          <w:p w14:paraId="5310B6A5"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5310B6A6" w14:textId="77777777" w:rsidR="00D3297A" w:rsidRPr="00982242" w:rsidRDefault="00D3297A" w:rsidP="00F8401B">
            <w:pPr>
              <w:autoSpaceDE w:val="0"/>
              <w:autoSpaceDN w:val="0"/>
              <w:snapToGrid w:val="0"/>
              <w:rPr>
                <w:rFonts w:hAnsi="ＭＳ ゴシック"/>
                <w:sz w:val="20"/>
                <w:szCs w:val="20"/>
              </w:rPr>
            </w:pPr>
          </w:p>
        </w:tc>
      </w:tr>
    </w:tbl>
    <w:p w14:paraId="5310B6A8"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5310B6AB" w14:textId="77777777" w:rsidTr="00677D67">
        <w:trPr>
          <w:trHeight w:val="259"/>
          <w:jc w:val="center"/>
        </w:trPr>
        <w:tc>
          <w:tcPr>
            <w:tcW w:w="1602" w:type="pct"/>
            <w:tcMar>
              <w:left w:w="28" w:type="dxa"/>
              <w:right w:w="28" w:type="dxa"/>
            </w:tcMar>
            <w:vAlign w:val="center"/>
          </w:tcPr>
          <w:p w14:paraId="5310B6A9"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5310B6AA" w14:textId="77777777" w:rsidR="00D3297A" w:rsidRPr="00982242" w:rsidRDefault="00D3297A" w:rsidP="00F8401B">
            <w:pPr>
              <w:autoSpaceDE w:val="0"/>
              <w:autoSpaceDN w:val="0"/>
              <w:snapToGrid w:val="0"/>
              <w:rPr>
                <w:rFonts w:hAnsi="ＭＳ ゴシック"/>
                <w:sz w:val="20"/>
                <w:szCs w:val="20"/>
              </w:rPr>
            </w:pPr>
          </w:p>
        </w:tc>
      </w:tr>
      <w:tr w:rsidR="00982242" w:rsidRPr="00982242" w14:paraId="5310B6AE" w14:textId="77777777" w:rsidTr="00677D67">
        <w:trPr>
          <w:trHeight w:val="260"/>
          <w:jc w:val="center"/>
        </w:trPr>
        <w:tc>
          <w:tcPr>
            <w:tcW w:w="1602" w:type="pct"/>
            <w:tcMar>
              <w:left w:w="28" w:type="dxa"/>
              <w:right w:w="28" w:type="dxa"/>
            </w:tcMar>
            <w:vAlign w:val="center"/>
          </w:tcPr>
          <w:p w14:paraId="5310B6AC"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5310B6AD" w14:textId="77777777" w:rsidR="00D3297A" w:rsidRPr="00982242" w:rsidRDefault="00D3297A" w:rsidP="00F8401B">
            <w:pPr>
              <w:autoSpaceDE w:val="0"/>
              <w:autoSpaceDN w:val="0"/>
              <w:snapToGrid w:val="0"/>
              <w:rPr>
                <w:rFonts w:hAnsi="ＭＳ ゴシック"/>
                <w:sz w:val="20"/>
                <w:szCs w:val="20"/>
              </w:rPr>
            </w:pPr>
          </w:p>
        </w:tc>
      </w:tr>
    </w:tbl>
    <w:p w14:paraId="5310B6AF" w14:textId="15B39129" w:rsidR="00D3297A" w:rsidRPr="00982242" w:rsidRDefault="00F978B4" w:rsidP="00CB03CC">
      <w:pPr>
        <w:autoSpaceDE w:val="0"/>
        <w:autoSpaceDN w:val="0"/>
        <w:snapToGrid w:val="0"/>
        <w:ind w:leftChars="74" w:left="424" w:hangingChars="150" w:hanging="254"/>
        <w:jc w:val="lef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00AF05AD">
        <w:rPr>
          <w:rFonts w:hint="eastAsia"/>
          <w:sz w:val="16"/>
          <w:szCs w:val="16"/>
        </w:rPr>
        <w:t>統括管理者又は</w:t>
      </w:r>
      <w:r w:rsidRPr="00982242">
        <w:rPr>
          <w:rFonts w:hint="eastAsia"/>
          <w:sz w:val="16"/>
          <w:szCs w:val="16"/>
        </w:rPr>
        <w:t>研究責任医師が各対象者に割付けた固有の識別番号とし、胎児/出生児の場合は研究対象者（親）の識別コードとする。</w:t>
      </w:r>
    </w:p>
    <w:p w14:paraId="5310B6B0"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B3" w14:textId="77777777" w:rsidTr="00677D67">
        <w:trPr>
          <w:trHeight w:val="401"/>
          <w:jc w:val="center"/>
        </w:trPr>
        <w:tc>
          <w:tcPr>
            <w:tcW w:w="5000" w:type="pct"/>
            <w:shd w:val="clear" w:color="auto" w:fill="auto"/>
            <w:vAlign w:val="center"/>
          </w:tcPr>
          <w:p w14:paraId="5310B6B1"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5310B6B2"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6B4"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5310B6B5"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5310B6C1" w14:textId="77777777" w:rsidTr="00677D67">
        <w:trPr>
          <w:jc w:val="center"/>
        </w:trPr>
        <w:tc>
          <w:tcPr>
            <w:tcW w:w="951" w:type="pct"/>
            <w:vMerge w:val="restart"/>
            <w:tcBorders>
              <w:top w:val="single" w:sz="12" w:space="0" w:color="auto"/>
              <w:bottom w:val="single" w:sz="4" w:space="0" w:color="auto"/>
              <w:right w:val="single" w:sz="4" w:space="0" w:color="auto"/>
            </w:tcBorders>
          </w:tcPr>
          <w:p w14:paraId="5310B6B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5310B6B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5310B6B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5310B6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310B6B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5310B6B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5310B6B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5310B6BD"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B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5310B6BF"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5310B6C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5310B6C7" w14:textId="77777777" w:rsidTr="00677D67">
        <w:trPr>
          <w:jc w:val="center"/>
        </w:trPr>
        <w:tc>
          <w:tcPr>
            <w:tcW w:w="951" w:type="pct"/>
            <w:vMerge/>
            <w:tcBorders>
              <w:top w:val="single" w:sz="4" w:space="0" w:color="auto"/>
              <w:bottom w:val="single" w:sz="12" w:space="0" w:color="auto"/>
              <w:right w:val="single" w:sz="4" w:space="0" w:color="auto"/>
            </w:tcBorders>
          </w:tcPr>
          <w:p w14:paraId="5310B6C2"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5310B6C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5310B6C4"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5310B6C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5310B6C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5310B6C8" w14:textId="77777777" w:rsidR="00D3297A" w:rsidRPr="00982242" w:rsidRDefault="00D3297A" w:rsidP="008E1E8C">
      <w:pPr>
        <w:autoSpaceDE w:val="0"/>
        <w:autoSpaceDN w:val="0"/>
        <w:snapToGrid w:val="0"/>
        <w:ind w:right="680"/>
        <w:textAlignment w:val="bottom"/>
        <w:rPr>
          <w:sz w:val="16"/>
          <w:szCs w:val="16"/>
        </w:rPr>
      </w:pPr>
    </w:p>
    <w:p w14:paraId="5310B6C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5310B6D2" w14:textId="77777777" w:rsidTr="00677D67">
        <w:trPr>
          <w:trHeight w:val="567"/>
          <w:jc w:val="center"/>
        </w:trPr>
        <w:tc>
          <w:tcPr>
            <w:tcW w:w="1198" w:type="pct"/>
            <w:tcMar>
              <w:left w:w="28" w:type="dxa"/>
              <w:right w:w="28" w:type="dxa"/>
            </w:tcMar>
            <w:vAlign w:val="center"/>
          </w:tcPr>
          <w:p w14:paraId="5310B6CA"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5310B6CB"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310B6CC"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5310B6CD"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5310B6CE"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5310B6CF"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5310B6D0"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5310B6D1"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5310B6E1" w14:textId="77777777" w:rsidTr="007C0BB4">
        <w:trPr>
          <w:jc w:val="center"/>
        </w:trPr>
        <w:tc>
          <w:tcPr>
            <w:tcW w:w="1198" w:type="pct"/>
            <w:tcMar>
              <w:left w:w="57" w:type="dxa"/>
              <w:right w:w="57" w:type="dxa"/>
            </w:tcMar>
          </w:tcPr>
          <w:p w14:paraId="5310B6D3" w14:textId="77777777" w:rsidR="00D3297A" w:rsidRPr="00982242" w:rsidRDefault="00D3297A" w:rsidP="00F8401B">
            <w:pPr>
              <w:autoSpaceDE w:val="0"/>
              <w:autoSpaceDN w:val="0"/>
              <w:snapToGrid w:val="0"/>
              <w:textAlignment w:val="bottom"/>
              <w:rPr>
                <w:sz w:val="16"/>
                <w:szCs w:val="16"/>
              </w:rPr>
            </w:pPr>
          </w:p>
          <w:p w14:paraId="5310B6D4" w14:textId="77777777" w:rsidR="00D3297A" w:rsidRPr="00982242" w:rsidRDefault="00D3297A" w:rsidP="00F8401B">
            <w:pPr>
              <w:autoSpaceDE w:val="0"/>
              <w:autoSpaceDN w:val="0"/>
              <w:snapToGrid w:val="0"/>
              <w:textAlignment w:val="bottom"/>
              <w:rPr>
                <w:sz w:val="16"/>
                <w:szCs w:val="16"/>
              </w:rPr>
            </w:pPr>
          </w:p>
          <w:p w14:paraId="5310B6D5" w14:textId="77777777" w:rsidR="00D3297A" w:rsidRPr="00982242" w:rsidRDefault="00D3297A" w:rsidP="00F8401B">
            <w:pPr>
              <w:autoSpaceDE w:val="0"/>
              <w:autoSpaceDN w:val="0"/>
              <w:snapToGrid w:val="0"/>
              <w:textAlignment w:val="bottom"/>
              <w:rPr>
                <w:sz w:val="16"/>
                <w:szCs w:val="16"/>
              </w:rPr>
            </w:pPr>
          </w:p>
          <w:p w14:paraId="5310B6D6" w14:textId="77777777" w:rsidR="00D3297A" w:rsidRPr="00982242" w:rsidRDefault="00D3297A" w:rsidP="00F8401B">
            <w:pPr>
              <w:autoSpaceDE w:val="0"/>
              <w:autoSpaceDN w:val="0"/>
              <w:snapToGrid w:val="0"/>
              <w:textAlignment w:val="bottom"/>
              <w:rPr>
                <w:sz w:val="16"/>
                <w:szCs w:val="16"/>
              </w:rPr>
            </w:pPr>
          </w:p>
          <w:p w14:paraId="5310B6D7"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5310B6D8"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310B6D9"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A"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5310B6DB"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5310B6D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5310B6DD"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5310B6DE"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F"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5310B6E0"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5310B6E2" w14:textId="77777777" w:rsidR="00F8401B" w:rsidRPr="00982242" w:rsidRDefault="00F8401B" w:rsidP="00F8401B">
      <w:pPr>
        <w:autoSpaceDE w:val="0"/>
        <w:autoSpaceDN w:val="0"/>
        <w:snapToGrid w:val="0"/>
        <w:textAlignment w:val="bottom"/>
        <w:rPr>
          <w:b/>
          <w:sz w:val="16"/>
        </w:rPr>
      </w:pPr>
    </w:p>
    <w:p w14:paraId="5310B6E3"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2"/>
        <w:gridCol w:w="2811"/>
        <w:gridCol w:w="1605"/>
        <w:gridCol w:w="2588"/>
      </w:tblGrid>
      <w:tr w:rsidR="00982242" w:rsidRPr="00982242" w14:paraId="5310B6EA" w14:textId="77777777" w:rsidTr="00CB03CC">
        <w:trPr>
          <w:trHeight w:val="455"/>
          <w:jc w:val="center"/>
        </w:trPr>
        <w:tc>
          <w:tcPr>
            <w:tcW w:w="1395" w:type="pct"/>
            <w:tcBorders>
              <w:top w:val="single" w:sz="12" w:space="0" w:color="auto"/>
              <w:bottom w:val="single" w:sz="8" w:space="0" w:color="auto"/>
            </w:tcBorders>
            <w:vAlign w:val="center"/>
          </w:tcPr>
          <w:p w14:paraId="5310B6E4"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5310B6E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5310B6E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5310B6E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5310B6E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5310B6E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310B6F5" w14:textId="77777777" w:rsidTr="00CB03CC">
        <w:trPr>
          <w:trHeight w:val="344"/>
          <w:jc w:val="center"/>
        </w:trPr>
        <w:tc>
          <w:tcPr>
            <w:tcW w:w="1395" w:type="pct"/>
            <w:tcBorders>
              <w:top w:val="single" w:sz="8" w:space="0" w:color="auto"/>
              <w:bottom w:val="dashSmallGap" w:sz="4" w:space="0" w:color="auto"/>
            </w:tcBorders>
          </w:tcPr>
          <w:p w14:paraId="5310B6E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5310B6E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5310B6E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5310B6EE"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5310B6EF"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5310B6F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310B6F1"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5310B6F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5310B6F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310B6F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5310B6FA" w14:textId="77777777" w:rsidTr="00CB03CC">
        <w:trPr>
          <w:trHeight w:val="591"/>
          <w:jc w:val="center"/>
        </w:trPr>
        <w:tc>
          <w:tcPr>
            <w:tcW w:w="1395" w:type="pct"/>
            <w:tcBorders>
              <w:top w:val="dashSmallGap" w:sz="4" w:space="0" w:color="auto"/>
              <w:bottom w:val="single" w:sz="12" w:space="0" w:color="auto"/>
            </w:tcBorders>
          </w:tcPr>
          <w:p w14:paraId="5310B6F6" w14:textId="77777777" w:rsidR="00D3297A" w:rsidRPr="00982242" w:rsidRDefault="00D3297A" w:rsidP="00F8401B">
            <w:pPr>
              <w:autoSpaceDE w:val="0"/>
              <w:autoSpaceDN w:val="0"/>
              <w:snapToGrid w:val="0"/>
              <w:ind w:left="-60" w:firstLine="20"/>
              <w:jc w:val="left"/>
              <w:textAlignment w:val="bottom"/>
              <w:rPr>
                <w:sz w:val="18"/>
                <w:lang w:eastAsia="zh-CN"/>
              </w:rPr>
            </w:pPr>
            <w:r w:rsidRPr="00982242">
              <w:rPr>
                <w:rFonts w:hint="eastAsia"/>
                <w:sz w:val="18"/>
                <w:lang w:eastAsia="zh-CN"/>
              </w:rPr>
              <w:t>医薬品名：販売名/一般名</w:t>
            </w:r>
          </w:p>
        </w:tc>
        <w:tc>
          <w:tcPr>
            <w:tcW w:w="1446" w:type="pct"/>
            <w:tcBorders>
              <w:top w:val="dashSmallGap" w:sz="4" w:space="0" w:color="auto"/>
              <w:bottom w:val="single" w:sz="12" w:space="0" w:color="auto"/>
            </w:tcBorders>
          </w:tcPr>
          <w:p w14:paraId="5310B6F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5310B6F8"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5310B6F9"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5310B6FB" w14:textId="77777777" w:rsidR="00D3297A" w:rsidRPr="00982242" w:rsidRDefault="00D3297A" w:rsidP="008E1E8C">
      <w:pPr>
        <w:autoSpaceDE w:val="0"/>
        <w:autoSpaceDN w:val="0"/>
        <w:snapToGrid w:val="0"/>
        <w:ind w:right="680"/>
        <w:textAlignment w:val="bottom"/>
        <w:rPr>
          <w:sz w:val="16"/>
          <w:szCs w:val="16"/>
        </w:rPr>
      </w:pPr>
    </w:p>
    <w:p w14:paraId="5310B6FC"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FF" w14:textId="77777777" w:rsidTr="00677D67">
        <w:trPr>
          <w:trHeight w:val="401"/>
          <w:jc w:val="center"/>
        </w:trPr>
        <w:tc>
          <w:tcPr>
            <w:tcW w:w="5000" w:type="pct"/>
            <w:shd w:val="clear" w:color="auto" w:fill="auto"/>
            <w:vAlign w:val="center"/>
          </w:tcPr>
          <w:p w14:paraId="5310B6FD"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5310B6FE"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700" w14:textId="529D9E0D" w:rsidR="008E1E8C"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w:t>
      </w:r>
      <w:r w:rsidR="00CD488D">
        <w:rPr>
          <w:rFonts w:hAnsi="ＭＳ ゴシック" w:hint="eastAsia"/>
          <w:sz w:val="18"/>
          <w:szCs w:val="18"/>
        </w:rPr>
        <w:t>統括管理者</w:t>
      </w:r>
      <w:r w:rsidRPr="00982242">
        <w:rPr>
          <w:rFonts w:hAnsi="ＭＳ ゴシック" w:hint="eastAsia"/>
          <w:sz w:val="18"/>
          <w:szCs w:val="18"/>
        </w:rPr>
        <w:t>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5BB440E5" w14:textId="08AE5239" w:rsidR="00447C40" w:rsidRPr="00982242" w:rsidRDefault="00447C40" w:rsidP="008E1E8C">
      <w:pPr>
        <w:snapToGrid w:val="0"/>
        <w:ind w:left="190" w:hangingChars="100" w:hanging="190"/>
        <w:rPr>
          <w:rFonts w:hAnsi="ＭＳ ゴシック"/>
          <w:sz w:val="18"/>
          <w:szCs w:val="18"/>
        </w:rPr>
      </w:pPr>
      <w:r>
        <w:rPr>
          <w:rFonts w:hAnsi="ＭＳ ゴシック" w:hint="eastAsia"/>
          <w:sz w:val="18"/>
          <w:szCs w:val="18"/>
        </w:rPr>
        <w:t>注）</w:t>
      </w:r>
      <w:r w:rsidR="005A13EF" w:rsidRPr="005A13EF">
        <w:rPr>
          <w:rFonts w:hAnsi="ＭＳ ゴシック" w:hint="eastAsia"/>
          <w:sz w:val="18"/>
          <w:szCs w:val="18"/>
        </w:rPr>
        <w:t>効果安全</w:t>
      </w:r>
      <w:r w:rsidR="005A13EF">
        <w:rPr>
          <w:rFonts w:hAnsi="ＭＳ ゴシック" w:hint="eastAsia"/>
          <w:sz w:val="18"/>
          <w:szCs w:val="18"/>
        </w:rPr>
        <w:t>性</w:t>
      </w:r>
      <w:r w:rsidR="005A13EF" w:rsidRPr="005A13EF">
        <w:rPr>
          <w:rFonts w:hAnsi="ＭＳ ゴシック" w:hint="eastAsia"/>
          <w:sz w:val="18"/>
          <w:szCs w:val="18"/>
        </w:rPr>
        <w:t>評価委員会</w:t>
      </w:r>
      <w:r w:rsidR="005A13EF">
        <w:rPr>
          <w:rFonts w:hAnsi="ＭＳ ゴシック" w:hint="eastAsia"/>
          <w:sz w:val="18"/>
          <w:szCs w:val="18"/>
        </w:rPr>
        <w:t>による評価を受けた場合には、当該</w:t>
      </w:r>
      <w:r w:rsidR="005A13EF" w:rsidRPr="005A13EF">
        <w:rPr>
          <w:rFonts w:hAnsi="ＭＳ ゴシック" w:hint="eastAsia"/>
          <w:sz w:val="18"/>
          <w:szCs w:val="18"/>
        </w:rPr>
        <w:t>評価</w:t>
      </w:r>
      <w:r w:rsidR="00CC79D2">
        <w:rPr>
          <w:rFonts w:hAnsi="ＭＳ ゴシック" w:hint="eastAsia"/>
          <w:sz w:val="18"/>
          <w:szCs w:val="18"/>
        </w:rPr>
        <w:t>の</w:t>
      </w:r>
      <w:r w:rsidR="005A13EF" w:rsidRPr="005A13EF">
        <w:rPr>
          <w:rFonts w:hAnsi="ＭＳ ゴシック" w:hint="eastAsia"/>
          <w:sz w:val="18"/>
          <w:szCs w:val="18"/>
        </w:rPr>
        <w:t>概要を添付すること</w:t>
      </w:r>
      <w:r w:rsidR="005A13EF">
        <w:rPr>
          <w:rFonts w:hAnsi="ＭＳ ゴシック" w:hint="eastAsia"/>
          <w:sz w:val="18"/>
          <w:szCs w:val="18"/>
        </w:rPr>
        <w:t>。</w:t>
      </w:r>
    </w:p>
    <w:p w14:paraId="5310B701"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w:t>
      </w:r>
      <w:r w:rsidRPr="00982242">
        <w:rPr>
          <w:rFonts w:hint="eastAsia"/>
          <w:sz w:val="18"/>
          <w:szCs w:val="18"/>
        </w:rPr>
        <w:lastRenderedPageBreak/>
        <w:t>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D8A2" w14:textId="77777777" w:rsidR="00776129" w:rsidRDefault="00776129">
      <w:r>
        <w:separator/>
      </w:r>
    </w:p>
  </w:endnote>
  <w:endnote w:type="continuationSeparator" w:id="0">
    <w:p w14:paraId="5B9D4541" w14:textId="77777777" w:rsidR="00776129" w:rsidRDefault="0077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8B97" w14:textId="77777777" w:rsidR="00776129" w:rsidRDefault="00776129">
      <w:r>
        <w:separator/>
      </w:r>
    </w:p>
  </w:footnote>
  <w:footnote w:type="continuationSeparator" w:id="0">
    <w:p w14:paraId="185E158A" w14:textId="77777777" w:rsidR="00776129" w:rsidRDefault="0077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B6ED4"/>
    <w:rsid w:val="00112B86"/>
    <w:rsid w:val="0011680C"/>
    <w:rsid w:val="00214253"/>
    <w:rsid w:val="002F1F0A"/>
    <w:rsid w:val="00447C40"/>
    <w:rsid w:val="004F407F"/>
    <w:rsid w:val="005A13EF"/>
    <w:rsid w:val="005C3B8F"/>
    <w:rsid w:val="00677D67"/>
    <w:rsid w:val="006969E8"/>
    <w:rsid w:val="006A6F2D"/>
    <w:rsid w:val="007557B5"/>
    <w:rsid w:val="00776129"/>
    <w:rsid w:val="007C0BB4"/>
    <w:rsid w:val="0084385E"/>
    <w:rsid w:val="008A06AE"/>
    <w:rsid w:val="008E1E8C"/>
    <w:rsid w:val="008F4E73"/>
    <w:rsid w:val="00957400"/>
    <w:rsid w:val="00982242"/>
    <w:rsid w:val="00A64B83"/>
    <w:rsid w:val="00AB5F8D"/>
    <w:rsid w:val="00AF05AD"/>
    <w:rsid w:val="00B30E48"/>
    <w:rsid w:val="00B65F67"/>
    <w:rsid w:val="00C01AA4"/>
    <w:rsid w:val="00C43B8E"/>
    <w:rsid w:val="00C85101"/>
    <w:rsid w:val="00CB03CC"/>
    <w:rsid w:val="00CC79D2"/>
    <w:rsid w:val="00CD488D"/>
    <w:rsid w:val="00D3297A"/>
    <w:rsid w:val="00D5394D"/>
    <w:rsid w:val="00DD781E"/>
    <w:rsid w:val="00E1251B"/>
    <w:rsid w:val="00E17A52"/>
    <w:rsid w:val="00E36EE7"/>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10B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0A5A2385-B7B9-4C2F-8869-D60558EA6E5E}">
  <ds:schemaRefs>
    <ds:schemaRef ds:uri="http://schemas.openxmlformats.org/officeDocument/2006/bibliography"/>
  </ds:schemaRefs>
</ds:datastoreItem>
</file>

<file path=customXml/itemProps2.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3.xml><?xml version="1.0" encoding="utf-8"?>
<ds:datastoreItem xmlns:ds="http://schemas.openxmlformats.org/officeDocument/2006/customXml" ds:itemID="{FB2A7D4A-17A4-4D09-88EE-3E988171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 ds:uri="292a9f24-818c-4db8-8dff-edecc974c03a"/>
    <ds:schemaRef ds:uri="29c7a8b8-2653-468f-80bf-3eed6c29fbf0"/>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2019-03-23T14:37:00Z</dcterms:created>
  <dcterms:modified xsi:type="dcterms:W3CDTF">2025-05-21T07:43:00Z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